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Discharge</w:t>
      </w:r>
    </w:p>
    <w:p>
      <w:pPr>
        <w:jc w:val="both"/>
        <w:spacing w:before="100" w:after="100"/>
        <w:ind w:start="360"/>
        <w:ind w:firstLine="360"/>
      </w:pPr>
      <w:r>
        <w:rPr/>
      </w:r>
      <w:r>
        <w:rPr/>
      </w:r>
      <w:r>
        <w:t xml:space="preserve">An enlisted person discharged from the state military forces shall receive a discharge in the form and with the classification prescribed for the federal military establishment.  Discharges may be given prior to the expiration of periods of enlistment under these regulations, not inconsistent with those established by the national military establishment for the government of the National Guard, as the Governor may prescribe.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§148.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