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w:t>
        <w:t xml:space="preserve">.  </w:t>
      </w:r>
      <w:r>
        <w:rPr>
          <w:b/>
        </w:rPr>
        <w:t xml:space="preserve">Quelling of disorders</w:t>
      </w:r>
    </w:p>
    <w:p>
      <w:pPr>
        <w:jc w:val="both"/>
        <w:spacing w:before="100" w:after="100"/>
        <w:ind w:start="360"/>
        <w:ind w:firstLine="360"/>
      </w:pPr>
      <w:r>
        <w:rPr/>
      </w:r>
      <w:r>
        <w:rPr/>
      </w:r>
      <w:r>
        <w:t xml:space="preserve">All officers and noncommissioned officers may quell all quarrels, frays and disorders among persons subject to this Code and apprehend persons subject to this Code who take part in those disorders.</w:t>
      </w:r>
      <w:r>
        <w:t xml:space="preserve">  </w:t>
      </w:r>
      <w:r xmlns:wp="http://schemas.openxmlformats.org/drawingml/2010/wordprocessingDrawing" xmlns:w15="http://schemas.microsoft.com/office/word/2012/wordml">
        <w:rPr>
          <w:rFonts w:ascii="Arial" w:hAnsi="Arial" w:cs="Arial"/>
          <w:sz w:val="22"/>
          <w:szCs w:val="22"/>
        </w:rPr>
        <w:t xml:space="preserve">[PL 2001, c. 662,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 Quelling of disorders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 Quelling of disorders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§411. QUELLING OF DISORDERS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