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Judicial review</w:t>
      </w:r>
    </w:p>
    <w:p>
      <w:pPr>
        <w:jc w:val="both"/>
        <w:spacing w:before="100" w:after="100"/>
        <w:ind w:start="360"/>
        <w:ind w:firstLine="360"/>
      </w:pPr>
      <w:r>
        <w:rPr/>
      </w:r>
      <w:r>
        <w:rPr/>
      </w:r>
      <w:r>
        <w:t xml:space="preserve">In any case reviewed by it, the Supreme Judicial Court may act with respect to any of the findings and sentence as approved by the convening authority. The Supreme Judicial Court shall take action only with respect to matters of law.</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If the Supreme Judicial Court sets aside the findings and sentence, it may order a rehearing, except where the setting aside is based on lack of sufficient evidence in the record to support the findings.  If it sets aside the findings and sentence and does not order a rehearing, it shall order that the charges be dismissed.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r>
      <w:r>
        <w:t xml:space="preserve">After it has acted on a case, the Supreme Judicial Court may direct the convening authority to take action in accordance with its decision.  If the court has ordered a rehearing, but the convening authority finds a rehearing impracticable, the convening authority may dismiss the charges.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Judicial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§434. JUDICIAL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