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 Local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Local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§794. LOCAL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