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826</w:t>
        <w:t xml:space="preserve">.  </w:t>
      </w:r>
      <w:r>
        <w:rPr>
          <w:b/>
        </w:rPr>
        <w:t xml:space="preserve">Transfer of equipment</w:t>
      </w:r>
    </w:p>
    <w:p>
      <w:pPr>
        <w:jc w:val="both"/>
        <w:spacing w:before="100" w:after="100"/>
        <w:ind w:start="360"/>
        <w:ind w:firstLine="360"/>
      </w:pPr>
      <w:r>
        <w:rPr/>
      </w:r>
      <w:r>
        <w:rPr/>
      </w:r>
      <w:r>
        <w:t xml:space="preserve">Subject to the approval of the Governor, the director may convey equipment, supplies, materials or funds by sale, lease or grant to any political subdivision of the State for emergency management purposes.  The conveyance is subject to the terms of the offer and the applicable state rules and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2001, c. 614, §25 (AMD); PL 2001, c. 662,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§B18 (AMD). PL 2001, c. 614, §25 (AMD). PL 2001, c. 662,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§826. Transfer of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§826. Transfer of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§826. TRANSFER OF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