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w:t>
        <w:t xml:space="preserve">.  </w:t>
      </w:r>
      <w:r>
        <w:rPr>
          <w:b/>
        </w:rPr>
        <w:t xml:space="preserve">Liability - Article VI</w:t>
      </w:r>
    </w:p>
    <w:p>
      <w:pPr>
        <w:jc w:val="both"/>
        <w:spacing w:before="100" w:after="100"/>
        <w:ind w:start="360"/>
        <w:ind w:firstLine="360"/>
      </w:pPr>
      <w:r>
        <w:rPr/>
      </w:r>
      <w:r>
        <w:rPr/>
      </w:r>
      <w:r>
        <w:t xml:space="preserve">Any person or entity of a party jurisdiction rendering aid in another party jurisdiction pursuant to this compact is considered an agent of the requesting party jurisdiction for tort liability and immunity purposes.  Any person or entity rendering aid in another party jurisdiction pursuant to this compact is not liable on account of any act or omission made in good faith on the part of such forces while so engaged or on account of the maintenance or use of any equipment or supplies in connection therewith.  Good faith in this section does not include willful misconduct, gross negligence or recklessness.</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 Liability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 Liability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§940. LIABILITY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