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w:t>
        <w:t xml:space="preserve">.  </w:t>
      </w:r>
      <w:r>
        <w:rPr>
          <w:b/>
        </w:rPr>
        <w:t xml:space="preserve">Right of eminent domain; applicable to all sewer districts</w:t>
      </w:r>
    </w:p>
    <w:p>
      <w:pPr>
        <w:jc w:val="both"/>
        <w:spacing w:before="100" w:after="100"/>
        <w:ind w:start="360"/>
        <w:ind w:firstLine="360"/>
      </w:pPr>
      <w:r>
        <w:rPr/>
      </w:r>
      <w:r>
        <w:rPr/>
      </w:r>
      <w:r>
        <w:t xml:space="preserve">The authority and procedures for the exercise of eminent domain by a sewer district must conform to </w:t>
      </w:r>
      <w:r>
        <w:t>sections 1152</w:t>
      </w:r>
      <w:r>
        <w:t xml:space="preserve">, </w:t>
      </w:r>
      <w:r>
        <w:t>1152‑A</w:t>
      </w:r>
      <w:r>
        <w:t xml:space="preserve">, </w:t>
      </w:r>
      <w:r>
        <w:t>1153</w:t>
      </w:r>
      <w:r>
        <w:t xml:space="preserve"> and </w:t>
      </w:r>
      <w:r>
        <w:t>1154</w:t>
      </w:r>
      <w:r>
        <w:t xml:space="preserve">.  In addition, a sewer district may not take by right of eminent domain any of the property or facilities of any other public utility used or acquired for future use by the owner of the public utility in the performance of a public duty, unless expressly authorized by a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2 and specifically provides that this subsection or former section 1252, subsection 2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§1040. Right of eminent domain; applicable to all sewer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 Right of eminent domain; applicable to all sewer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§1040. RIGHT OF EMINENT DOMAIN; APPLICABLE TO ALL SEWER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