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Findings and purpose</w:t>
      </w:r>
    </w:p>
    <w:p>
      <w:pPr>
        <w:jc w:val="both"/>
        <w:spacing w:before="100" w:after="100"/>
        <w:ind w:start="360"/>
        <w:ind w:firstLine="360"/>
      </w:pPr>
      <w:r>
        <w:rPr/>
      </w:r>
      <w:r>
        <w:rPr/>
      </w:r>
      <w:r>
        <w:t xml:space="preserve">The Legislature finds and declares that uncontrolled hazardous substance sites within the jurisdiction of the State present a hazard to all the people of the State and that hazard poses a threat or potential threat to the public health, safety or welfare, to the environment of the State and to owners and users of property near or adjacent to uncontrolled sites.</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r>
      <w:r>
        <w:rPr/>
      </w:r>
      <w:r>
        <w:t xml:space="preserve">The Legislature further finds that adequate measures must be taken to ensure that the threats posed by uncontrolled hazardous substance sites are abated, cleaned up or mitigated promptly.</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r>
      <w:r>
        <w:rPr/>
      </w:r>
      <w:r>
        <w:t xml:space="preserve">The Legislature further finds that it is in the public interest of the State and its citizens to provide the capacity for prompt and effective planning and implementation of plans to abate, clean up or mitigate threats posed or potentially posed by uncontrolled sites. This paramount state interest outweighs any burden, economic or otherwise,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