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1474</w:t>
        <w:t xml:space="preserve">.  </w:t>
      </w:r>
      <w:r>
        <w:rPr>
          <w:b/>
        </w:rPr>
        <w:t xml:space="preserve">Regional compacts</w:t>
      </w:r>
    </w:p>
    <w:p>
      <w:pPr>
        <w:jc w:val="both"/>
        <w:spacing w:before="100" w:after="0"/>
        <w:ind w:start="360"/>
        <w:ind w:firstLine="360"/>
      </w:pPr>
      <w:r>
        <w:rPr>
          <w:b/>
        </w:rPr>
        <w:t>1</w:t>
        <w:t xml:space="preserve">.  </w:t>
      </w:r>
      <w:r>
        <w:rPr>
          <w:b/>
        </w:rPr>
        <w:t xml:space="preserve">Negotiation.</w:t>
        <w:t xml:space="preserve"> </w:t>
      </w:r>
      <w:r>
        <w:t xml:space="preserve"> </w:t>
      </w:r>
      <w:r>
        <w:t xml:space="preserve">The Governor may negotiate on behalf of the State compacts or other agreements, with other states and the Federal Government with respect to the siting, licensing, operation and use of low-level radioactive waste disposal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705, §3 (NEW).]</w:t>
      </w:r>
    </w:p>
    <w:p>
      <w:pPr>
        <w:jc w:val="both"/>
        <w:spacing w:before="100" w:after="0"/>
        <w:ind w:start="360"/>
        <w:ind w:firstLine="360"/>
      </w:pPr>
      <w:r>
        <w:rPr>
          <w:b/>
        </w:rPr>
        <w:t>2</w:t>
        <w:t xml:space="preserve">.  </w:t>
      </w:r>
      <w:r>
        <w:rPr>
          <w:b/>
        </w:rPr>
        <w:t xml:space="preserve">Ratification.</w:t>
        <w:t xml:space="preserve"> </w:t>
      </w:r>
      <w:r>
        <w:t xml:space="preserve"> </w:t>
      </w:r>
      <w:r>
        <w:t xml:space="preserve">Except for an agreement with the Southeast Compact Commission for acceptance through June 30, 1994 of low-level radioactive waste generated by and on the premises of any facility of the United States Navy in Kittery, Maine, any compact or agreement with any other state or states or the Federal Government for low-level waste disposal must be ratified by legislative act and, in accordance with </w:t>
      </w:r>
      <w:r>
        <w:t>subchapter IV</w:t>
      </w:r>
      <w:r>
        <w:t xml:space="preserve">, by the voters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1983, c. 500, §1 (RAL). PL 1983, c. 862, §91 (RPR). PL 1985, c. 705, §3 (RPR). PL 1993, c. 541,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§1474. Regional compacts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§1474. Regional compacts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§1474. REGIONAL COMPACTS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