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1492</w:t>
        <w:t xml:space="preserve">.  </w:t>
      </w:r>
      <w:r>
        <w:rPr>
          <w:b/>
        </w:rPr>
        <w:t xml:space="preserve">Purpose</w:t>
      </w:r>
    </w:p>
    <w:p>
      <w:pPr>
        <w:jc w:val="both"/>
        <w:spacing w:before="100" w:after="100"/>
        <w:ind w:start="360"/>
        <w:ind w:firstLine="360"/>
      </w:pPr>
      <w:r>
        <w:rPr/>
      </w:r>
      <w:r>
        <w:rPr/>
      </w:r>
      <w:r>
        <w:t xml:space="preserve">The purpose of this Act is to require approval by the voters of Maine as a precondition for the construction or operation within the State of Maine of any low-level radioactive waste disposal or storage facility and to require approval by the voters of Maine as a precondition for the participation by the State of Maine in any compact or agreement with any other state or states or the Federal Government concerning low-level radioactive waste disposal or storage.</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§1492.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