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1732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directors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last known address of owner or owners.</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If the owner or owners are not known or if they cannot be notified by personal service or certified mail, notice may be given by publication in the same manner as provided for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shall be given to the municipality in which the property to be acquired is located in the same manner as for the owner of the property and shall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of the district shall hold a public hearing on the advisability of the proposed exercise of the right of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§1733.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§1733.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§1733.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