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2166</w:t>
        <w:t xml:space="preserve">.  </w:t>
      </w:r>
      <w:r>
        <w:rPr>
          <w:b/>
        </w:rPr>
        <w:t xml:space="preserve">Rechargeable consumer products</w:t>
      </w:r>
    </w:p>
    <w:p>
      <w:pPr>
        <w:jc w:val="both"/>
        <w:spacing w:before="100" w:after="100"/>
        <w:ind w:start="360"/>
        <w:ind w:firstLine="360"/>
      </w:pPr>
      <w:r>
        <w:rPr>
          <w:b/>
        </w:rPr>
        <w:t>1</w:t>
        <w:t xml:space="preserve">.  </w:t>
      </w:r>
      <w:r>
        <w:rPr>
          <w:b/>
        </w:rPr>
        <w:t xml:space="preserve">Nonremoveable battery requirements.</w:t>
        <w:t xml:space="preserve"> </w:t>
      </w:r>
      <w:r>
        <w:t xml:space="preserve"> </w:t>
      </w:r>
      <w:r>
        <w:t xml:space="preserve">A person may not sell, distribute or offer for sale in this State any product powered by a rechargeable battery primarily used or purchased to be used for personal, family or household purposes unless:</w:t>
      </w:r>
    </w:p>
    <w:p>
      <w:pPr>
        <w:jc w:val="both"/>
        <w:spacing w:before="100" w:after="0"/>
        <w:ind w:start="720"/>
      </w:pPr>
      <w:r>
        <w:rPr/>
        <w:t>A</w:t>
        <w:t xml:space="preserve">.  </w:t>
      </w:r>
      <w:r>
        <w:rPr/>
      </w:r>
      <w:r>
        <w:t xml:space="preserve">The battery may be easily removed by the consumer or is contained in a battery pack that is separate from the product and may be easily removed; and</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w:pPr>
        <w:jc w:val="both"/>
        <w:spacing w:before="100" w:after="0"/>
        <w:ind w:start="720"/>
      </w:pPr>
      <w:r>
        <w:rPr/>
        <w:t>B</w:t>
        <w:t xml:space="preserve">.  </w:t>
      </w:r>
      <w:r>
        <w:rPr/>
      </w:r>
      <w:r>
        <w:t xml:space="preserve">The product, the battery itself and the package containing the product are all labeled, in a manner that is clearly visible to the consumer, indicating that the battery must be recycled or disposed of properly and that the type of electrode used in the battery is clearly identifiable.</w:t>
      </w:r>
      <w:r>
        <w:t xml:space="preserve">  </w:t>
      </w:r>
      <w:r xmlns:wp="http://schemas.openxmlformats.org/drawingml/2010/wordprocessingDrawing" xmlns:w15="http://schemas.microsoft.com/office/word/2012/wordml">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2</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§50 (RP).]</w:t>
      </w:r>
    </w:p>
    <w:p>
      <w:pPr>
        <w:jc w:val="both"/>
        <w:spacing w:before="100" w:after="0"/>
        <w:ind w:start="360"/>
        <w:ind w:firstLine="360"/>
      </w:pPr>
      <w:r>
        <w:rPr>
          <w:b/>
        </w:rPr>
        <w:t>3</w:t>
        <w:t xml:space="preserve">.  </w:t>
      </w:r>
      <w:r>
        <w:rPr>
          <w:b/>
        </w:rPr>
        <w:t xml:space="preserve">Effective date.</w:t>
        <w:t xml:space="preserve"> </w:t>
      </w:r>
      <w:r>
        <w:t xml:space="preserve"> </w:t>
      </w:r>
      <w:r>
        <w:t xml:space="preserve">Except as otherwise indicated, this section takes effect January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is a civil violation for which a forfeiture of not more than $100 per battery sold, distributed or offered for sale may be adjudged.  Each day that a violation continues or exists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808, §2 (NEW). PL 1995, c. 656, §A50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§2166. Rechargeable consumer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§2166. Rechargeable consumer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§2166. RECHARGEABLE CONSUMER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