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§2324. REPORTING USE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