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3307</w:t>
        <w:t xml:space="preserve">.  </w:t>
      </w:r>
      <w:r>
        <w:rPr>
          <w:b/>
        </w:rPr>
        <w:t xml:space="preserve">Rulemaking</w:t>
      </w:r>
    </w:p>
    <w:p>
      <w:pPr>
        <w:jc w:val="both"/>
        <w:spacing w:before="100" w:after="100"/>
        <w:ind w:start="360"/>
        <w:ind w:firstLine="360"/>
      </w:pPr>
      <w:r>
        <w:rPr/>
      </w:r>
      <w:r>
        <w:rPr/>
      </w:r>
      <w:r>
        <w:t xml:space="preserve">In consultation with the Department of Marine Resources and the Department of Inland Fisheries and Wildlife, the Department of Agriculture, Conservation and Forestry may adopt rules clarifying the application of the provisions of this chapter to watercraft, houseboats, nonwater-dependent floating structures and nonwater-dependent uses, rules clarifying or expanding the scope of the exceptions to the prohibition under </w:t>
      </w:r>
      <w:r>
        <w:t>section 3302</w:t>
      </w:r>
      <w:r>
        <w:t xml:space="preserve"> and other rules necessary for the implementation of this chapter.  Rules adopted pursuant to this section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378,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378,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§3307.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§3307.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§3307.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