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§11 (AMD).]</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PL 2023, c. 660,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§346. JUDICIAL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