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570-L</w:t>
        <w:t xml:space="preserve">.  </w:t>
      </w:r>
      <w:r>
        <w:rPr>
          <w:b/>
        </w:rPr>
        <w:t xml:space="preserve">Budget approval; aboveground tanks program</w:t>
      </w:r>
    </w:p>
    <w:p>
      <w:pPr>
        <w:jc w:val="both"/>
        <w:spacing w:before="100" w:after="100"/>
        <w:ind w:start="360"/>
        <w:ind w:firstLine="360"/>
      </w:pPr>
      <w:r>
        <w:rPr/>
      </w:r>
      <w:r>
        <w:rPr/>
      </w:r>
      <w:r>
        <w:t xml:space="preserve">This section establishes a budget process for expenses of the State Fire Marshal and the Clean-up and Response Fund Review Board.</w:t>
      </w:r>
      <w:r>
        <w:t xml:space="preserve">  </w:t>
      </w:r>
      <w:r xmlns:wp="http://schemas.openxmlformats.org/drawingml/2010/wordprocessingDrawing" xmlns:w15="http://schemas.microsoft.com/office/word/2012/wordml">
        <w:rPr>
          <w:rFonts w:ascii="Arial" w:hAnsi="Arial" w:cs="Arial"/>
          <w:sz w:val="22"/>
          <w:szCs w:val="22"/>
        </w:rPr>
        <w:t xml:space="preserve">[PL 2015, c. 319, §39 (AMD).]</w:t>
      </w:r>
    </w:p>
    <w:p>
      <w:pPr>
        <w:jc w:val="both"/>
        <w:spacing w:before="100" w:after="0"/>
        <w:ind w:start="360"/>
        <w:ind w:firstLine="360"/>
      </w:pPr>
      <w:r>
        <w:rPr>
          <w:b/>
        </w:rPr>
        <w:t>1</w:t>
        <w:t xml:space="preserve">.  </w:t>
      </w:r>
      <w:r>
        <w:rPr>
          <w:b/>
        </w:rPr>
        <w:t xml:space="preserve">Clean-up and Response Fund Review Board.</w:t>
        <w:t xml:space="preserve"> </w:t>
      </w:r>
      <w:r>
        <w:t xml:space="preserve"> </w:t>
      </w:r>
      <w:r>
        <w:t xml:space="preserve">The chair of the Clean-up and Response Fund Review Board shall submit budget recommendations for disbursements from the fund in accordance with </w:t>
      </w:r>
      <w:r>
        <w:t>section 551, subsection 5, paragraph L</w:t>
      </w:r>
      <w:r>
        <w:t xml:space="preserve">.  The budget must be submitted in accordance with </w:t>
      </w:r>
      <w:r>
        <w:t>Title 5, sections 1663</w:t>
      </w:r>
      <w:r>
        <w:t xml:space="preserve"> to </w:t>
      </w:r>
      <w:r>
        <w:t>1666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§39 (AMD).]</w:t>
      </w:r>
    </w:p>
    <w:p>
      <w:pPr>
        <w:jc w:val="both"/>
        <w:spacing w:before="100" w:after="0"/>
        <w:ind w:start="360"/>
        <w:ind w:firstLine="360"/>
      </w:pPr>
      <w:r>
        <w:rPr>
          <w:b/>
        </w:rPr>
        <w:t>2</w:t>
        <w:t xml:space="preserve">.  </w:t>
      </w:r>
      <w:r>
        <w:rPr>
          <w:b/>
        </w:rPr>
        <w:t xml:space="preserve">State Fire Marshal.</w:t>
        <w:t xml:space="preserve"> </w:t>
      </w:r>
      <w:r>
        <w:t xml:space="preserve"> </w:t>
      </w:r>
      <w:r>
        <w:t xml:space="preserve">The State Fire Marshal shall submit budget recommendations for disbursement from the fund in accordance with </w:t>
      </w:r>
      <w:r>
        <w:t>section 551, subsection 5, paragraph M</w:t>
      </w:r>
      <w:r>
        <w:t xml:space="preserve">.  The budget must be submitted at the time the State Fire Marshal's budget is otherwise presented.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363, §18 (NEW). PL 1993, c. 363, §21 (AFF). PL 2015, c. 319,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§570-L. Budget approval; aboveground tanks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§570-L. Budget approval; aboveground tanks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§570-L. BUDGET APPROVAL; ABOVEGROUND TANKS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