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w:t>
        <w:t xml:space="preserve">.  </w:t>
      </w:r>
      <w:r>
        <w:rPr>
          <w:b/>
        </w:rPr>
        <w:t xml:space="preserve">Yearly damages</w:t>
      </w:r>
    </w:p>
    <w:p>
      <w:pPr>
        <w:jc w:val="both"/>
        <w:spacing w:before="100" w:after="100"/>
        <w:ind w:start="360"/>
        <w:ind w:firstLine="360"/>
      </w:pPr>
      <w:r>
        <w:rPr/>
      </w:r>
      <w:r>
        <w:rPr/>
      </w:r>
      <w:r>
        <w:t xml:space="preserve">Such verdict or accepted report of the commissioners, and judgment thereon, shall be the measure of the yearly damages, until the owner or occupant of the lands or the owner or occupant of the mill or canal, on a new complaint to the court and by proceedings as in the former case, obtains an increase or decrease of such damages.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 Yearly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 Yearly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§711. YEARLY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