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Court Appointed Special Advocate Program</w:t>
      </w:r>
    </w:p>
    <w:p>
      <w:pPr>
        <w:jc w:val="both"/>
        <w:spacing w:before="100" w:after="100"/>
        <w:ind w:start="360"/>
        <w:ind w:firstLine="360"/>
      </w:pPr>
      <w:r>
        <w:rPr/>
      </w:r>
      <w:r>
        <w:rPr/>
      </w:r>
      <w:r>
        <w:t xml:space="preserve">There is established within the Administrative Office of the Courts of the Judicial Department the Court Appointed Special Advocate Program to provide volunteer lay persons to serve as court appointed special advocates or guardians ad litem under </w:t>
      </w:r>
      <w:r>
        <w:t>Title 22, section 4005, subsection 1</w:t>
      </w:r>
      <w:r>
        <w:t xml:space="preserve">, in child abuse and neglect cases.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Court Appointed Special Advocate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Court Appointed Special Advocate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§1501. COURT APPOINTED SPECIAL ADVOCATE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