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Facilities</w:t>
      </w:r>
    </w:p>
    <w:p>
      <w:pPr>
        <w:jc w:val="both"/>
        <w:spacing w:before="100" w:after="100"/>
        <w:ind w:start="360"/>
        <w:ind w:firstLine="360"/>
      </w:pPr>
      <w:r>
        <w:rPr/>
      </w:r>
      <w:r>
        <w:rPr/>
      </w:r>
      <w:r>
        <w:t xml:space="preserve">The State Court Administrator shall provide a principal office for the Court Appointed Special Advocate Program and shall arrange for such facilities throughout the State as are necessary and adequate for the court appointed special advocates to conduct their duties.</w:t>
      </w:r>
      <w:r>
        <w:t xml:space="preserve">  </w:t>
      </w:r>
      <w:r xmlns:wp="http://schemas.openxmlformats.org/drawingml/2010/wordprocessingDrawing" xmlns:w15="http://schemas.microsoft.com/office/word/2012/wordml">
        <w:rPr>
          <w:rFonts w:ascii="Arial" w:hAnsi="Arial" w:cs="Arial"/>
          <w:sz w:val="22"/>
          <w:szCs w:val="22"/>
        </w:rPr>
        <w:t xml:space="preserve">[PL 1997, c. 393,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1997, c. 393, §C1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§1504.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§1504.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