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Duties of Chief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Duties of Chief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 DUTIES OF CHIEF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