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work, school or other address; home telephone number; fax number; e-mail address; cellular telephone number; pager number; and any information protected under the Maine Rules of Evidence, Rules 501 to 509 or the Maine Rules of Professional Conduct, Rule 1.6 or otherwise protected by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"Personal contact information" means home address, home telephone number, home fax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C</w:t>
        <w:t xml:space="preserve">.  </w:t>
      </w:r>
      <w:r>
        <w:rPr/>
      </w:r>
      <w:r>
        <w:t xml:space="preserve">"Request for funds for expert or investigative assistance" means a request submitted to the commission by or on behalf of a person eligible for indigent legal services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638, §17 (RP).]</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employee, including employed counsel and public defenders,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E</w:t>
        <w:t xml:space="preserve">.  </w:t>
      </w:r>
      <w:r>
        <w:rPr/>
      </w:r>
      <w:r>
        <w:t xml:space="preserve">A request for funds for expert or investigative assistance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F</w:t>
        <w:t xml:space="preserve">.  </w:t>
      </w:r>
      <w:r>
        <w:rPr/>
      </w:r>
      <w:r>
        <w:t xml:space="preserve">Any information obtained or gathered by the commission through a formal or informal complaint or when performing an evaluation or investigation of an attorney is confidential, except:</w:t>
      </w:r>
    </w:p>
    <w:p>
      <w:pPr>
        <w:jc w:val="both"/>
        <w:spacing w:before="100" w:after="0"/>
        <w:ind w:start="1080"/>
      </w:pPr>
      <w:r>
        <w:rPr/>
        <w:t>(</w:t>
        <w:t>1</w:t>
        <w:t xml:space="preserve">)  </w:t>
      </w:r>
      <w:r>
        <w:rPr/>
      </w:r>
      <w:r>
        <w:t xml:space="preserve">The commission may disclose the information to the attorney who is the subject of the formal or informal complaint, evaluation or investigation;</w:t>
      </w:r>
    </w:p>
    <w:p>
      <w:pPr>
        <w:jc w:val="both"/>
        <w:spacing w:before="100" w:after="0"/>
        <w:ind w:start="1080"/>
      </w:pPr>
      <w:r>
        <w:rPr/>
        <w:t>(</w:t>
        <w:t>2</w:t>
        <w:t xml:space="preserve">)  </w:t>
      </w:r>
      <w:r>
        <w:rPr/>
      </w:r>
      <w:r>
        <w:t xml:space="preserve">The executive director of the commission hired pursuant to </w:t>
      </w:r>
      <w:r>
        <w:t>section 1804, subsection 1</w:t>
      </w:r>
      <w:r>
        <w:t xml:space="preserve">, or the executive director's designee, may disclose the information to the Maine Assistance Program for Lawyers described in </w:t>
      </w:r>
      <w:r>
        <w:t>Title 14, section 164‑A</w:t>
      </w:r>
      <w:r>
        <w:t xml:space="preserve">;</w:t>
      </w:r>
    </w:p>
    <w:p>
      <w:pPr>
        <w:jc w:val="both"/>
        <w:spacing w:before="100" w:after="0"/>
        <w:ind w:start="1080"/>
      </w:pPr>
      <w:r>
        <w:rPr/>
        <w:t>(</w:t>
        <w:t>3</w:t>
        <w:t xml:space="preserve">)  </w:t>
      </w:r>
      <w:r>
        <w:rPr/>
      </w:r>
      <w:r>
        <w:t xml:space="preserve">If the attorney who is subject to an evaluation or investigation appeals a decision of the executive director or the executive director's designee, in accordance with the process established under </w:t>
      </w:r>
      <w:r>
        <w:t>section 1804, subsection 3, paragraph J</w:t>
      </w:r>
      <w:r>
        <w:t xml:space="preserve">, the information may be disclosed at a public hearing conducted by the commission on the appeal, except that information that is protected by the attorney-client privilege or that is confidential under any provision of law, the Maine Rules of Evidence or the Maine Rules of Professional Conduct remains confidential; and</w:t>
      </w:r>
    </w:p>
    <w:p>
      <w:pPr>
        <w:jc w:val="both"/>
        <w:spacing w:before="100" w:after="0"/>
        <w:ind w:start="1080"/>
      </w:pPr>
      <w:r>
        <w:rPr/>
        <w:t>(</w:t>
        <w:t>4</w:t>
        <w:t xml:space="preserve">)  </w:t>
      </w:r>
      <w:r>
        <w:rPr/>
      </w:r>
      <w:r>
        <w:t xml:space="preserve">As provided in subsection 4.</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3</w:t>
        <w:t xml:space="preserve">.  </w:t>
      </w:r>
      <w:r>
        <w:rPr>
          <w:b/>
        </w:rPr>
        <w:t xml:space="preserve">Confidential information disclosed by Judicial Department.</w:t>
        <w:t xml:space="preserve"> </w:t>
      </w:r>
      <w:r>
        <w:t xml:space="preserve"> </w:t>
      </w:r>
      <w:r>
        <w:t xml:space="preserve">The Judicial Department may disclose to the commission confidential information necessary for the commission to carry out its functions, including, but not limited to,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Information received by the commission from the Judicial Department under this subsection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 (COR).]</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of the commission hired pursuant to </w:t>
      </w:r>
      <w:r>
        <w:t>section 1804, subsection 1</w:t>
      </w:r>
      <w:r>
        <w:t xml:space="preserve">,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0"/>
        <w:ind w:start="360"/>
        <w:ind w:firstLine="360"/>
      </w:pPr>
      <w:r>
        <w:rPr>
          <w:b/>
        </w:rPr>
        <w:t>5</w:t>
        <w:t xml:space="preserve">.  </w:t>
      </w:r>
      <w:r>
        <w:rPr>
          <w:b/>
        </w:rPr>
        <w:t xml:space="preserve">Confidential information possessed by employed counsel and public defenders.</w:t>
        <w:t xml:space="preserve"> </w:t>
      </w:r>
      <w:r>
        <w:t xml:space="preserve"> </w:t>
      </w:r>
      <w:r>
        <w:t xml:space="preserve">Records, information and materials created, received, obtained, maintained or stored by or on behalf of employed counsel and public defenders that are protected under the Maine Rules of Evidence, Rules 501 to 509 or the Maine Rules of Professional Conduct, Rule 1.6 or otherwise protected by the attorney-client relationship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PL 2023, c. 638, §17 (AMD). RR 2023, c. 2,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§1806. Information not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Information not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§1806. INFORMATION NOT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