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Equity and contested cases; time and place of hearing</w:t>
      </w:r>
    </w:p>
    <w:p>
      <w:pPr>
        <w:jc w:val="both"/>
        <w:spacing w:before="100" w:after="100"/>
        <w:ind w:start="360"/>
        <w:ind w:firstLine="360"/>
      </w:pPr>
      <w:r>
        <w:rPr/>
      </w:r>
      <w:r>
        <w:rPr/>
      </w:r>
      <w:r>
        <w:t xml:space="preserve">Judges of probate may hold hearings for matters in equity and contested cases at such time and place in the county as the judge of probate may appoint and make all necessary orders and decrees relating thereto, and when hearings are held at other places than those fixed for holding the regular terms of court, the judge  is allowed, in addition to that judge's regular salary, $5 per day and actual expenses, which must be paid by the State unless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[RR 2021, c. 1,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Equity and contested cases; time and place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Equity and contested cases; time and place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§304. EQUITY AND CONTESTED CASES; TIME AND PLACE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