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w:t>
        <w:t xml:space="preserve">.  </w:t>
      </w:r>
      <w:r>
        <w:rPr>
          <w:b/>
        </w:rPr>
        <w:t xml:space="preserve">Courthouse Security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Courthouse Security Fund, referred to in this section as "the fund," is created under the jurisdiction and control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The fund consists of all money appropriated or allocated for inclusion in the fund, from whatever source, and any other resources available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used to improve security and improve public safety at court facilities under the control of the State or a subdivision of the State.  Money in the fund not needed to meet the requirements of this subsection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w:pPr>
        <w:jc w:val="both"/>
        <w:spacing w:before="100" w:after="0"/>
        <w:ind w:start="360"/>
        <w:ind w:firstLine="360"/>
      </w:pPr>
      <w:r>
        <w:rPr>
          <w:b/>
        </w:rPr>
        <w:t>4</w:t>
        <w:t xml:space="preserve">.  </w:t>
      </w:r>
      <w:r>
        <w:rPr>
          <w:b/>
        </w:rPr>
        <w:t xml:space="preserve">Revolving fund.</w:t>
        <w:t xml:space="preserve"> </w:t>
      </w:r>
      <w:r>
        <w:t xml:space="preserve"> </w:t>
      </w:r>
      <w:r>
        <w:t xml:space="preserve">The fund is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 Courthouse Security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 Courthouse Security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§58. COURTHOUSE SECURITY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