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§13083-A. Washington County Development Authority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§13083-A. WASHINGTON COUNTY DEVELOPMENT AUTHORITY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