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1742-H</w:t>
        <w:t xml:space="preserve">.  </w:t>
      </w:r>
      <w:r>
        <w:rPr>
          <w:b/>
        </w:rPr>
        <w:t xml:space="preserve">Bureau of General Services; Lead by Example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Lead by Example Program, referred to in this section as "the program," is established within the Department of Administrative and Financial Services, Bureau of General Services to consolidate responsibilities regarding statewide energy data, strategic energy purchases and the development of renewable energy projects and serve as a competitive, revolving grant program for state agency renewable energy and building efficiency projects, the purchase of electric vehicles, the construction of electric vehicle charging stations and initiatives that support maintenance, upgrades and upkeep of renewable energy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I, §2 (NEW).]</w:t>
      </w:r>
    </w:p>
    <w:p>
      <w:pPr>
        <w:jc w:val="both"/>
        <w:spacing w:before="100" w:after="0"/>
        <w:ind w:start="360"/>
        <w:ind w:firstLine="360"/>
      </w:pPr>
      <w:r>
        <w:rPr>
          <w:b/>
        </w:rPr>
        <w:t>2</w:t>
        <w:t xml:space="preserve">.  </w:t>
      </w:r>
      <w:r>
        <w:rPr>
          <w:b/>
        </w:rPr>
        <w:t xml:space="preserve">Assistance and funding.</w:t>
        <w:t xml:space="preserve"> </w:t>
      </w:r>
      <w:r>
        <w:t xml:space="preserve"> </w:t>
      </w:r>
      <w:r>
        <w:t xml:space="preserve">The program may receive federal clean energy direct reimbursements, including under the federal Internal Revenue Service elective pay reimbursement program established under the federal Inflation Reduction Act of 2022, Public Law 117-169.  All funds received must be placed in the same Other Special Revenue Funds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I,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I,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§1742-H. Bureau of General Services; Lead by Example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§1742-H. Bureau of General Services; Lead by Example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§1742-H. BUREAU OF GENERAL SERVICES; LEAD BY EXAMPLE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