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17438</w:t>
        <w:t xml:space="preserve">.  </w:t>
      </w:r>
      <w:r>
        <w:rPr>
          <w:b/>
        </w:rPr>
        <w:t xml:space="preserve">Reporting requirements under Governmental Accounting Standards Board</w:t>
      </w:r>
    </w:p>
    <w:p>
      <w:pPr>
        <w:jc w:val="both"/>
        <w:spacing w:before="100" w:after="100"/>
        <w:ind w:start="360"/>
        <w:ind w:firstLine="360"/>
      </w:pPr>
      <w:r>
        <w:rPr/>
      </w:r>
      <w:r>
        <w:rPr/>
      </w:r>
      <w:r>
        <w:t xml:space="preserve">The system and trustees of the investment trust fund have no obligation to comply with reporting requirements related to the investment trust fund under Governmental Accounting Standards Board Statement Number 74, Financial Reporting for Postemployment Benefit Plans Other Than Pension Plans, or Governmental Accounting Standards Board Statement Number 75, Accounting and Financial Reporting for Postemployment Benefits Other Than Pensions.  The State is obligated to comply with the reporting requirements under Governmental Accounting Standards Board Statement Number 74 and Governmental Accounting Standards Board Statement Number 75.  The system shall account for the assets of the investment trust fund in its annual financial statements.</w:t>
      </w:r>
      <w:r>
        <w:t xml:space="preserve">  </w:t>
      </w:r>
      <w:r xmlns:wp="http://schemas.openxmlformats.org/drawingml/2010/wordprocessingDrawing" xmlns:w15="http://schemas.microsoft.com/office/word/2012/wordml">
        <w:rPr>
          <w:rFonts w:ascii="Arial" w:hAnsi="Arial" w:cs="Arial"/>
          <w:sz w:val="22"/>
          <w:szCs w:val="22"/>
        </w:rPr>
        <w:t xml:space="preserve">[PL 2017, c. 88,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 PL 2017, c. 88,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§17438. Reporting requirements under Governmental Accounting Standards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§17438. Reporting requirements under Governmental Accounting Standards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§17438. REPORTING REQUIREMENTS UNDER GOVERNMENTAL ACCOUNTING STANDARDS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