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1761</w:t>
        <w:t xml:space="preserve">.  </w:t>
      </w:r>
      <w:r>
        <w:rPr>
          <w:b/>
        </w:rPr>
        <w:t xml:space="preserve">Short title</w:t>
      </w:r>
    </w:p>
    <w:p>
      <w:pPr>
        <w:jc w:val="both"/>
        <w:spacing w:before="100" w:after="100"/>
        <w:ind w:start="360"/>
        <w:ind w:firstLine="360"/>
      </w:pPr>
      <w:r>
        <w:rPr/>
      </w:r>
      <w:r>
        <w:rPr/>
      </w:r>
      <w:r>
        <w:t xml:space="preserve">This subchapter may be cited as the "Energy Conservation in Buildings Act."</w:t>
      </w:r>
      <w:r>
        <w:t xml:space="preserve">  </w:t>
      </w:r>
      <w:r xmlns:wp="http://schemas.openxmlformats.org/drawingml/2010/wordprocessingDrawing" xmlns:w15="http://schemas.microsoft.com/office/word/2012/wordml">
        <w:rPr>
          <w:rFonts w:ascii="Arial" w:hAnsi="Arial" w:cs="Arial"/>
          <w:sz w:val="22"/>
          <w:szCs w:val="22"/>
        </w:rPr>
        <w:t xml:space="preserve">[PL 1977, c. 563,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320 (NEW). PL 1977, c. 563, §1 (RP). PL 1977, c. 563, §2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