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§18252-C. Delayed election of membership; annual open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§18252-C. DELAYED ELECTION OF MEMBERSHIP; ANNUAL OPEN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