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18404.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RR 2023, c. 2, Pt. B, §136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