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§153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§18509. Statement of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§18509. STATEMENT OF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