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194-J</w:t>
        <w:t xml:space="preserve">.  </w:t>
      </w:r>
      <w:r>
        <w:rPr>
          <w:b/>
        </w:rPr>
        <w:t xml:space="preserve">Attorney General authority</w:t>
      </w:r>
    </w:p>
    <w:p>
      <w:pPr>
        <w:jc w:val="both"/>
        <w:spacing w:before="100" w:after="0"/>
        <w:ind w:start="360"/>
        <w:ind w:firstLine="360"/>
      </w:pPr>
      <w:r>
        <w:rPr>
          <w:b/>
        </w:rPr>
        <w:t>1</w:t>
        <w:t xml:space="preserve">.  </w:t>
      </w:r>
      <w:r>
        <w:rPr>
          <w:b/>
        </w:rPr>
        <w:t xml:space="preserve">Rules.</w:t>
        <w:t xml:space="preserve"> </w:t>
      </w:r>
      <w:r>
        <w:t xml:space="preserve"> </w:t>
      </w:r>
      <w:r>
        <w:t xml:space="preserve">The Attorney General may adopt rules the Attorney General considers appropriate to implement this section, </w:t>
      </w:r>
      <w:r>
        <w:t>sections 194‑B</w:t>
      </w:r>
      <w:r>
        <w:t xml:space="preserve"> to </w:t>
      </w:r>
      <w:r>
        <w:t>194‑I</w:t>
      </w:r>
      <w:r>
        <w:t xml:space="preserve"> and </w:t>
      </w:r>
      <w:r>
        <w:t>section 194‑K</w:t>
      </w:r>
      <w:r>
        <w:t xml:space="preserve">.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authority not limited.</w:t>
        <w:t xml:space="preserve"> </w:t>
      </w:r>
      <w:r>
        <w:t xml:space="preserve"> </w:t>
      </w:r>
      <w:r>
        <w:t xml:space="preserve">This section, </w:t>
      </w:r>
      <w:r>
        <w:t>sections 194‑B</w:t>
      </w:r>
      <w:r>
        <w:t xml:space="preserve"> to </w:t>
      </w:r>
      <w:r>
        <w:t>194‑I</w:t>
      </w:r>
      <w:r>
        <w:t xml:space="preserve"> and </w:t>
      </w:r>
      <w:r>
        <w:t>section 194‑K</w:t>
      </w:r>
      <w:r>
        <w:t xml:space="preserve"> do not limit the common-law authority of the Attorney General to protect charitable trusts and charitable assets in this State.  The penalties and remedies provided in </w:t>
      </w:r>
      <w:r>
        <w:t>section 194‑K</w:t>
      </w:r>
      <w:r>
        <w:t xml:space="preserve"> are in addition to and are not a replacement for any other civil or criminal action the Attorney General may take under common law or statute, including an action to rescind the conversion transaction or to obtain injunctive relief or a combination of injunctive relief and other remedies available under common law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§194-J.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§194-J.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§194-J.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