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20001</w:t>
        <w:t xml:space="preserve">.  </w:t>
      </w:r>
      <w:r>
        <w:rPr>
          <w:b/>
        </w:rPr>
        <w:t xml:space="preserve">Title</w:t>
      </w:r>
    </w:p>
    <w:p>
      <w:pPr>
        <w:jc w:val="both"/>
        <w:spacing w:before="100" w:after="100"/>
        <w:ind w:start="360"/>
        <w:ind w:firstLine="360"/>
      </w:pPr>
      <w:r>
        <w:rPr/>
      </w:r>
      <w:r>
        <w:rPr/>
      </w:r>
      <w:r>
        <w:t xml:space="preserve">This chapter may be known and cited as the "Maine Substance Use Disorder Prevention, Treatment and Recovery Act."</w:t>
      </w:r>
      <w:r>
        <w:t xml:space="preserve">  </w:t>
      </w:r>
      <w:r xmlns:wp="http://schemas.openxmlformats.org/drawingml/2010/wordprocessingDrawing" xmlns:w15="http://schemas.microsoft.com/office/word/2012/wordml">
        <w:rPr>
          <w:rFonts w:ascii="Arial" w:hAnsi="Arial" w:cs="Arial"/>
          <w:sz w:val="22"/>
          <w:szCs w:val="22"/>
        </w:rPr>
        <w:t xml:space="preserve">[PL 2019, c. 524,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2017, c. 407, Pt. A, §10 (AMD). PL 2019, c. 524,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