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Discontinuance; costs</w:t>
      </w:r>
    </w:p>
    <w:p>
      <w:pPr>
        <w:jc w:val="both"/>
        <w:spacing w:before="100" w:after="100"/>
        <w:ind w:start="360"/>
        <w:ind w:firstLine="360"/>
      </w:pPr>
      <w:r>
        <w:rPr/>
      </w:r>
      <w:r>
        <w:rPr/>
      </w:r>
      <w:r>
        <w:t xml:space="preserve">In any case where the Attorney General has authority to institute an action or proceeding under section 209, in lieu thereof the Attorney General may accept an assurance of discontinuance of any method, act or practice in violation of this chapter from any person alleged to be engaged or to have been engaged in the method, act or practice. The assurance may include a stipulation for the voluntary payment by that person of the costs of investigation, or of an amount to be held in escrow pending the outcome of an action or as restitution to aggrieved buyers, or both. Any such assurance of discontinuance must be in writing and be filed with the Superior Court of Kennebec County. Matters thus closed may at any time be reopened by the Attorney General for further proceedings in the public interest. Evidence of a violation of the assurance constitutes prima facie evidence of an act or practice declared to be unlawful by this chapter in any action thereafter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320 (AMD). RR 2023, c. 2, Pt. B,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 Discontinuance;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Discontinuance;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 DISCONTINUANCE;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