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4611</w:t>
        <w:t xml:space="preserve">.  </w:t>
      </w:r>
      <w:r>
        <w:rPr>
          <w:b/>
        </w:rPr>
        <w:t xml:space="preserve">Complaint</w:t>
      </w:r>
    </w:p>
    <w:p>
      <w:pPr>
        <w:jc w:val="both"/>
        <w:spacing w:before="100" w:after="100"/>
        <w:ind w:start="360"/>
        <w:ind w:firstLine="360"/>
      </w:pPr>
      <w:r>
        <w:rPr/>
      </w:r>
      <w:r>
        <w:rPr/>
      </w:r>
      <w:r>
        <w:t xml:space="preserve">Any aggrieved person, or any employee of the commission, may file a complaint under oath with the commission stating the facts concerning the alleged discrimination, except that a complaint must be filed with the commission not more than 300 days after the alleged act of unlawful discrimination. In addition, any person may file a complaint pursuant to </w:t>
      </w:r>
      <w:r>
        <w:t>section 4632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613, §18 (AMD); PL 2011, c. 613,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1975, c. 355, §18 (AMD). PL 1975, c. 357, §1 (AMD). PL 1975, c. 770, §42 (RPR). PL 1977, c. 259, §2 (AMD). PL 1995, c. 393, §28 (AMD). PL 2009, c. 235, §1 (AMD). PL 2011, c. 613, §18 (AMD). PL 2011, c. 613,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§4611. Complaint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§4611. Complaint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§4611. COMPLAINT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