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4622</w:t>
        <w:t xml:space="preserve">.  </w:t>
      </w:r>
      <w:r>
        <w:rPr>
          <w:b/>
        </w:rPr>
        <w:t xml:space="preserve">Limitations on attorneys' fees and damages; procedures</w:t>
      </w:r>
    </w:p>
    <w:p>
      <w:pPr>
        <w:jc w:val="both"/>
        <w:spacing w:before="100" w:after="100"/>
        <w:ind w:start="360"/>
        <w:ind w:firstLine="360"/>
      </w:pPr>
      <w:r>
        <w:rPr>
          <w:b/>
        </w:rPr>
        <w:t>1</w:t>
        <w:t xml:space="preserve">.  </w:t>
      </w:r>
      <w:r>
        <w:rPr>
          <w:b/>
        </w:rPr>
        <w:t xml:space="preserve">Limitation.</w:t>
        <w:t xml:space="preserve"> </w:t>
      </w:r>
      <w:r>
        <w:t xml:space="preserve"> </w:t>
      </w:r>
      <w:r>
        <w:t xml:space="preserve">Attorney's fees under </w:t>
      </w:r>
      <w:r>
        <w:t>section 4614</w:t>
      </w:r>
      <w:r>
        <w:t xml:space="preserve"> and civil penal damages or compensatory and punitive damages under </w:t>
      </w:r>
      <w:r>
        <w:t>section 4613</w:t>
      </w:r>
      <w:r>
        <w:t xml:space="preserve"> may not be awarded to a plaintiff in a civil action under this Act unless the plaintiff alleges and establishes that, prior to the filing of the civil action, the plaintiff first filed a complaint with the commission and the commission either:</w:t>
      </w:r>
    </w:p>
    <w:p>
      <w:pPr>
        <w:jc w:val="both"/>
        <w:spacing w:before="100" w:after="0"/>
        <w:ind w:start="720"/>
      </w:pPr>
      <w:r>
        <w:rPr/>
        <w:t>A</w:t>
        <w:t xml:space="preserve">.  </w:t>
      </w:r>
      <w:r>
        <w:rPr/>
      </w:r>
      <w:r>
        <w:t xml:space="preserve">Dismissed the case under </w:t>
      </w:r>
      <w:r>
        <w:t>section 4612, subsection 2</w:t>
      </w:r>
      <w:r>
        <w:t xml:space="preserve"> or </w:t>
      </w:r>
      <w:r>
        <w:t>subsection 2‑A, paragraphs A</w:t>
      </w:r>
      <w:r>
        <w:t xml:space="preserve"> and </w:t>
      </w:r>
      <w:r>
        <w:t>B</w:t>
      </w:r>
      <w:r>
        <w:t xml:space="preserve"> and </w:t>
      </w:r>
      <w:r>
        <w:t>D</w:t>
      </w:r>
      <w:r>
        <w:t xml:space="preserve"> to </w:t>
      </w:r>
      <w:r>
        <w:t>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366, §21 (AMD).]</w:t>
      </w:r>
    </w:p>
    <w:p>
      <w:pPr>
        <w:jc w:val="both"/>
        <w:spacing w:before="100" w:after="0"/>
        <w:ind w:start="720"/>
      </w:pPr>
      <w:r>
        <w:rPr/>
        <w:t>B</w:t>
        <w:t xml:space="preserve">.  </w:t>
      </w:r>
      <w:r>
        <w:rPr/>
      </w:r>
      <w:r>
        <w:t xml:space="preserve">Failed, within 90 days after finding reasonable grounds to believe that unlawful discrimination occurred, to enter into a conciliation agreement to which the plaintiff was a party;</w:t>
      </w:r>
      <w:r>
        <w:t xml:space="preserve">  </w:t>
      </w:r>
      <w:r xmlns:wp="http://schemas.openxmlformats.org/drawingml/2010/wordprocessingDrawing" xmlns:w15="http://schemas.microsoft.com/office/word/2012/wordml">
        <w:rPr>
          <w:rFonts w:ascii="Arial" w:hAnsi="Arial" w:cs="Arial"/>
          <w:sz w:val="22"/>
          <w:szCs w:val="22"/>
        </w:rPr>
        <w:t xml:space="preserve">[PL 2003, c. 279, §1 (AMD).]</w:t>
      </w:r>
    </w:p>
    <w:p>
      <w:pPr>
        <w:jc w:val="both"/>
        <w:spacing w:before="100" w:after="0"/>
        <w:ind w:start="720"/>
      </w:pPr>
      <w:r>
        <w:rPr/>
        <w:t>C</w:t>
        <w:t xml:space="preserve">.  </w:t>
      </w:r>
      <w:r>
        <w:rPr/>
      </w:r>
      <w:r>
        <w:t xml:space="preserve">Issued a right-to-sue letter under </w:t>
      </w:r>
      <w:r>
        <w:t>section 4612, subsection 6</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235, §4 (AMD).]</w:t>
      </w:r>
    </w:p>
    <w:p>
      <w:pPr>
        <w:jc w:val="both"/>
        <w:spacing w:before="100" w:after="0"/>
        <w:ind w:start="720"/>
      </w:pPr>
      <w:r>
        <w:rPr/>
        <w:t>D</w:t>
        <w:t xml:space="preserve">.  </w:t>
      </w:r>
      <w:r>
        <w:rPr/>
      </w:r>
      <w:r>
        <w:t xml:space="preserve">Dismissed the case in error.</w:t>
      </w:r>
      <w:r>
        <w:t xml:space="preserve">  </w:t>
      </w:r>
      <w:r xmlns:wp="http://schemas.openxmlformats.org/drawingml/2010/wordprocessingDrawing" xmlns:w15="http://schemas.microsoft.com/office/word/2012/wordml">
        <w:rPr>
          <w:rFonts w:ascii="Arial" w:hAnsi="Arial" w:cs="Arial"/>
          <w:sz w:val="22"/>
          <w:szCs w:val="22"/>
        </w:rPr>
        <w:t xml:space="preserve">[PL 2003, c. 279, §3 (NEW).]</w:t>
      </w:r>
    </w:p>
    <w:p>
      <w:pPr>
        <w:jc w:val="both"/>
        <w:spacing w:before="100" w:after="0"/>
        <w:ind w:start="360"/>
      </w:pPr>
      <w:r>
        <w:rPr/>
      </w:r>
      <w:r>
        <w:rPr/>
      </w:r>
      <w:r>
        <w:t xml:space="preserve">If the commission issued a right-to-sue letter, the plaintiff may not be awarded attorney's fees, civil penal damages or compensatory and punitive damages unless the plaintiff establishes that the plaintiff received the right-to-sue letter before filing the civil action.</w:t>
      </w:r>
    </w:p>
    <w:p>
      <w:pPr>
        <w:jc w:val="both"/>
        <w:spacing w:before="100" w:after="0"/>
        <w:ind w:start="360"/>
      </w:pPr>
      <w:r>
        <w:rPr/>
      </w:r>
      <w:r>
        <w:rPr/>
      </w:r>
      <w:r>
        <w:t xml:space="preserve">This subsection does not apply to or limit any remedies for civil actions filed under </w:t>
      </w:r>
      <w:r>
        <w:t>subchapter 5</w:t>
      </w:r>
      <w:r>
        <w:t xml:space="preserve"> if one or more additional causes of action are alleged in the same civil action that do not require exhaustion of administrative remedies or </w:t>
      </w:r>
      <w:r>
        <w:t>subchapter 4</w:t>
      </w:r>
      <w:r>
        <w:t xml:space="preserve"> if the allegations are covered by the federal Fair Housing Act, 42 United States Code, Chapter 45.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255, §2 (AMD).]</w:t>
      </w:r>
    </w:p>
    <w:p>
      <w:pPr>
        <w:jc w:val="both"/>
        <w:spacing w:before="100" w:after="0"/>
        <w:ind w:start="360"/>
        <w:ind w:firstLine="360"/>
      </w:pPr>
      <w:r>
        <w:rPr>
          <w:b/>
        </w:rPr>
        <w:t>2</w:t>
        <w:t xml:space="preserve">.  </w:t>
      </w:r>
      <w:r>
        <w:rPr>
          <w:b/>
        </w:rPr>
        <w:t xml:space="preserve">Advancement on docket; priority.</w:t>
        <w:t xml:space="preserve"> </w:t>
      </w:r>
      <w:r>
        <w:t xml:space="preserve"> </w:t>
      </w:r>
      <w:r>
        <w:t xml:space="preserve">If the plaintiff alleges and establishes that the conditions of </w:t>
      </w:r>
      <w:r>
        <w:t>subsection 1</w:t>
      </w:r>
      <w:r>
        <w:t xml:space="preserve"> have been met, the action may also be advanced on the docket and given priority over other civil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1973, c. 347, §14 (AMD). PL 1981, c. 255, §4 (RPR). PL 1993, c. 327, §§3,4 (AMD). PL 1995, c. 393, §30 (AMD). PL 1997, c. 400, §2 (AMD). PL 2003, c. 279, §§1-3 (AMD). PL 2009, c. 235, §4 (AMD). PL 2011, c. 613, §23 (AMD). PL 2011, c. 613, §29 (AFF). PL 2019, c. 465, §8 (AMD). PL 2021, c. 366, §21 (AMD). PL 2023, c. 255,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§4622. Limitations on attorneys' fees and damages;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§4622. Limitations on attorneys' fees and damages;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§4622. LIMITATIONS ON ATTORNEYS' FEES AND DAMAGES;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