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Creation</w:t>
      </w:r>
    </w:p>
    <w:p>
      <w:pPr>
        <w:jc w:val="both"/>
        <w:spacing w:before="100" w:after="100"/>
        <w:ind w:start="360"/>
        <w:ind w:firstLine="360"/>
      </w:pPr>
      <w:r>
        <w:rPr/>
      </w:r>
      <w:r>
        <w:rPr/>
      </w:r>
      <w:r>
        <w:t xml:space="preserve">The County and Local Government Internship Program, referred to in this chapter as "the program," is established to attract and place qualified undergraduate and graduate college students temporarily within county and local governments.</w:t>
      </w:r>
      <w:r>
        <w:t xml:space="preserve">  </w:t>
      </w:r>
      <w:r xmlns:wp="http://schemas.openxmlformats.org/drawingml/2010/wordprocessingDrawing" xmlns:w15="http://schemas.microsoft.com/office/word/2012/wordml">
        <w:rPr>
          <w:rFonts w:ascii="Arial" w:hAnsi="Arial" w:cs="Arial"/>
          <w:sz w:val="22"/>
          <w:szCs w:val="22"/>
        </w:rPr>
        <w:t xml:space="preserve">[PL 2007, c. 466,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§471.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