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Land for Maine's Future Board</w:t>
      </w:r>
    </w:p>
    <w:p>
      <w:pPr>
        <w:jc w:val="both"/>
        <w:spacing w:before="100" w:after="100"/>
        <w:ind w:start="360"/>
        <w:ind w:firstLine="360"/>
      </w:pPr>
      <w:r>
        <w:rPr/>
      </w:r>
      <w:r>
        <w:rPr/>
      </w:r>
      <w:r>
        <w:t xml:space="preserve">The Land for Maine's Future Board, as established in </w:t>
      </w:r>
      <w:r>
        <w:t>chapter 379</w:t>
      </w:r>
      <w:r>
        <w:t xml:space="preserve">, shall be an Executive Department Board and shall be referred to in this chapter as the "board."</w:t>
      </w:r>
      <w:r>
        <w:t xml:space="preserve">  </w:t>
      </w:r>
      <w:r xmlns:wp="http://schemas.openxmlformats.org/drawingml/2010/wordprocessingDrawing" xmlns:w15="http://schemas.microsoft.com/office/word/2012/wordml">
        <w:rPr>
          <w:rFonts w:ascii="Arial" w:hAnsi="Arial" w:cs="Arial"/>
          <w:sz w:val="22"/>
          <w:szCs w:val="22"/>
        </w:rPr>
        <w:t xml:space="preserve">[PL 1987, c. 506, §§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§6202. Land for Maine's Future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Land for Maine's Future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§6202. LAND FOR MAINE'S FUTURE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