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Municipal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elected municipal officials is required when more than 1% of a municipality's state valuation is considered for acquisition under a bond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by eminent domain funded by the board, when the land exceeds either 50 acres or $100,000 in assessed value, is subject to the approval of the municipality in which the land is located.  That approval may be obtained either from the elected municipal officials or, if those officials do not approve, by vote of the town meeting or by referendum of the electorate.  If the land involved is located within the unorganized territory, this requirement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603, §3 (AMD). PL 1993, c. 728,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Municipal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Municipal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§6208. MUNICIPAL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