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Public Utilities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Public Utilities Commission. Notwithstanding any provision of law to the contrary, these positions and their successor positions are subject to this chapter:</w:t>
      </w:r>
    </w:p>
    <w:p>
      <w:pPr>
        <w:jc w:val="both"/>
        <w:spacing w:before="100" w:after="0"/>
        <w:ind w:start="720"/>
      </w:pPr>
      <w:r>
        <w:rPr/>
        <w:t>A</w:t>
        <w:t xml:space="preserve">.  </w:t>
      </w:r>
      <w:r>
        <w:rPr/>
      </w:r>
      <w:r>
        <w:t xml:space="preserve">General Counsel -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§4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372, Pt. A, §2 (RP); PL 2009, c. 372, Pt. A, §10 (AFF).]</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618, §4 (AMD). PL 2007, c. 482, §§3, 4 (AMD). PL 2009, c. 122, §§4, 5 (AMD). PL 2009, c. 372, Pt. A, §§1, 2 (AMD). PL 2009, c. 372, Pt. A, §10 (AFF). PL 2015, c. 8, §2 (AMD). PL 2021, c. 398, Pt. UUU,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§949.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