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204</w:t>
        <w:t xml:space="preserve">.  </w:t>
      </w:r>
      <w:r>
        <w:rPr>
          <w:b/>
        </w:rPr>
        <w:t xml:space="preserve">Implied consent to chemical tests</w:t>
      </w:r>
    </w:p>
    <w:p>
      <w:pPr>
        <w:jc w:val="both"/>
        <w:spacing w:before="100" w:after="100"/>
        <w:ind w:start="360"/>
        <w:ind w:firstLine="360"/>
      </w:pPr>
      <w:r>
        <w:rPr/>
      </w:r>
      <w:r>
        <w:rPr/>
      </w:r>
      <w:r>
        <w:t xml:space="preserve">A person who operates or attempts to operate an aircraft within this State has a duty to submit to chemical testing to determine that person's alcohol level and drug concentration by analysis of blood, breath or urine if there is probable cause to believe that the person has operated or attempted to operate an aircraft while under the influence of intoxicating liquor or drugs.  The duty to submit to a chemical test includes the duty to complete either a blood, breath or urine test.  Tests and procedures applicable in determining whether a person is under the influence are governed by </w:t>
      </w:r>
      <w:r>
        <w:t>section 205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447,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467, §4 (NEW). PL 2009, c. 447,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§204. Implied consent to chemical tests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§204. Implied consent to chemical tests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§204. IMPLIED CONSENT TO CHEMICAL TESTS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