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409. QUARANTINES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