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MANAGEMENT OF MOSQUITOES</w:t>
      </w:r>
    </w:p>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A. MANAGEMENT OF MOSQUI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MANAGEMENT OF MOSQUIT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A. MANAGEMENT OF MOSQUI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