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§1037. Inspector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Inspector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§1037. INSPECTOR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