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Remittance of dues and fair share fees;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Remittance of dues and fair share fees;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§1093. REMITTANCE OF DUES AND FAIR SHARE FEES;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