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1095</w:t>
        <w:t xml:space="preserve">.  </w:t>
      </w:r>
      <w:r>
        <w:rPr>
          <w:b/>
        </w:rPr>
        <w:t xml:space="preserve">-- deduction</w:t>
      </w:r>
    </w:p>
    <w:p>
      <w:pPr>
        <w:jc w:val="both"/>
        <w:spacing w:before="100" w:after="100"/>
        <w:ind w:start="360"/>
        <w:ind w:firstLine="360"/>
      </w:pPr>
      <w:r>
        <w:rPr/>
      </w:r>
      <w:r>
        <w:rPr/>
      </w:r>
      <w:r>
        <w:t xml:space="preserve">Any dealer or processor may deduct a sum not to exceed 2% of the total dues to be paid to an association for administrative expenses incurred by the payment of such dues under the assignment.</w:t>
      </w:r>
      <w:r>
        <w:t xml:space="preserve">  </w:t>
      </w:r>
      <w:r xmlns:wp="http://schemas.openxmlformats.org/drawingml/2010/wordprocessingDrawing" xmlns:w15="http://schemas.microsoft.com/office/word/2012/wordml">
        <w:rPr>
          <w:rFonts w:ascii="Arial" w:hAnsi="Arial" w:cs="Arial"/>
          <w:sz w:val="22"/>
          <w:szCs w:val="22"/>
        </w:rPr>
        <w:t xml:space="preserve">[PL 1971, c. 438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§1095. -- deduction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§1095. -- deduction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§1095. -- DEDUCTION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