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2175</w:t>
        <w:t xml:space="preserve">.  </w:t>
      </w:r>
      <w:r>
        <w:rPr>
          <w:b/>
        </w:rPr>
        <w:t xml:space="preserve">Penalties; injunction</w:t>
      </w:r>
    </w:p>
    <w:p>
      <w:pPr>
        <w:jc w:val="both"/>
        <w:spacing w:before="100" w:after="0"/>
        <w:ind w:start="360"/>
        <w:ind w:firstLine="360"/>
      </w:pPr>
      <w:r>
        <w:rPr>
          <w:b/>
        </w:rPr>
        <w:t>1</w:t>
        <w:t xml:space="preserve">.  </w:t>
      </w:r>
      <w:r>
        <w:rPr>
          <w:b/>
        </w:rPr>
        <w:t xml:space="preserve">Penalties.</w:t>
        <w:t xml:space="preserve"> </w:t>
      </w:r>
      <w:r>
        <w:t xml:space="preserve"> </w:t>
      </w:r>
      <w:r>
        <w:t xml:space="preserve">A person who violates this subchapter commits a civil violation for which a forfeiture of up to $500 a day for each day the violation continues may be adjudged.  All penalties collected must be deposited in a nonlapsing account in the department and must be used for the expenses of administering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299, §3 (AMD).]</w:t>
      </w:r>
    </w:p>
    <w:p>
      <w:pPr>
        <w:jc w:val="both"/>
        <w:spacing w:before="100" w:after="0"/>
        <w:ind w:start="360"/>
        <w:ind w:firstLine="360"/>
      </w:pPr>
      <w:r>
        <w:rPr>
          <w:b/>
        </w:rPr>
        <w:t>2</w:t>
        <w:t xml:space="preserve">.  </w:t>
      </w:r>
      <w:r>
        <w:rPr>
          <w:b/>
        </w:rPr>
        <w:t xml:space="preserve">Injunction.</w:t>
        <w:t xml:space="preserve"> </w:t>
      </w:r>
      <w:r>
        <w:t xml:space="preserve"> </w:t>
      </w:r>
      <w:r>
        <w:t xml:space="preserve">The State may bring an action in District Court or Superior Court to enjoin any person from violating this chapter, regardless of whether other proceedings have been or may be instituted.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PL 1999, c. 547, §B78 (AMD). PL 1999, c. 547, §B80 (AFF). PL 2001, c. 299,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§2175. Penalties;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§2175. Penalties;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§2175. PENALTIES;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