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§218-A. Direct producer-to-consumer agriculture market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§218-A. Direct producer-to-consumer agriculture market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§218-A. DIRECT PRODUCER-TO-CONSUMER AGRICULTURE MARKET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