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284-A</w:t>
        <w:t xml:space="preserve">.  </w:t>
      </w:r>
      <w:r>
        <w:rPr>
          <w:b/>
        </w:rPr>
        <w:t xml:space="preserve">Application</w:t>
      </w:r>
    </w:p>
    <w:p>
      <w:pPr>
        <w:jc w:val="both"/>
        <w:spacing w:before="100" w:after="100"/>
        <w:ind w:start="360"/>
        <w:ind w:firstLine="360"/>
      </w:pPr>
      <w:r>
        <w:rPr/>
      </w:r>
      <w:r>
        <w:rPr/>
      </w:r>
      <w:r>
        <w:t xml:space="preserve">The provisions of this chapter apply to any local food ordinance adopted by a municipality, plantation or county, including those local food ordinances adopted prior to October 31, 2017.</w:t>
      </w:r>
      <w:r>
        <w:t xml:space="preserve">  </w:t>
      </w:r>
      <w:r xmlns:wp="http://schemas.openxmlformats.org/drawingml/2010/wordprocessingDrawing" xmlns:w15="http://schemas.microsoft.com/office/word/2012/wordml">
        <w:rPr>
          <w:rFonts w:ascii="Arial" w:hAnsi="Arial" w:cs="Arial"/>
          <w:sz w:val="22"/>
          <w:szCs w:val="22"/>
        </w:rPr>
        <w:t xml:space="preserve">[PL 2025, c. 309,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309, §12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§284-A. Application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§284-A. Application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§284-A. APPLICATION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