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3919-D</w:t>
        <w:t xml:space="preserve">.  </w:t>
      </w:r>
      <w:r>
        <w:rPr>
          <w:b/>
        </w:rPr>
        <w:t xml:space="preserve">Temporary animal shelter</w:t>
      </w:r>
    </w:p>
    <w:p>
      <w:pPr>
        <w:jc w:val="both"/>
        <w:spacing w:before="100" w:after="100"/>
        <w:ind w:start="360"/>
        <w:ind w:firstLine="360"/>
      </w:pPr>
      <w:r>
        <w:rPr/>
      </w:r>
      <w:r>
        <w:rPr/>
      </w:r>
      <w:r>
        <w:t xml:space="preserve">The department may temporarily impound animals within an enclosure other than a licensed animal shelter, and such an enclosure constitutes a temporary animal shelter. When animals are held at a temporary animal shelter for more than 21 days, the shelter must comply with the standards established by the department for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2007,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§3919-D. Temporary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§3919-D. Temporary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§3919-D. TEMPORARY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