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§402-A. Agriculture promotion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§402-A. Agriculture promotion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§402-A. AGRICULTURE PROMOTION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